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Rozhodnutí o poskytnutí podpory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Česká republika – Technologická agentura České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Evropská 1692/37, 160 00 Praha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72050365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………., předsedou/předsedkyní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 ČR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Česká národní banka, Na Příkopě 28,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běžný výdajový účet: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000-3125001/0710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jako poskytovatel účelové podpory (dále jen 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Poskytovatel“),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vydává níže uvedeného dne, měsíce a roku podle ustanovení § 9 zákona č. 130/2002 Sb., o podpoře výzkumu, experimentálního vývoje a inovací z veřejných prostředků a o změně některých souvisejících zákonů (zákon o podpoře výzkumu, experimentálního vývoje a inovací), ve znění pozdějších předpisů (dále jen „ZPVV“), a podle zákona č. 218/2000 Sb., o rozpočtových pravidlech a o změně některých souvisejících zákonů (rozpočtová pravidla), toto</w:t>
      </w:r>
    </w:p>
    <w:p w:rsidR="00000000" w:rsidDel="00000000" w:rsidP="00000000" w:rsidRDefault="00000000" w:rsidRPr="00000000" w14:paraId="0000000B">
      <w:pPr>
        <w:spacing w:befor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Rozhodnutí o poskytnutí účelové podpory formou dotace z výdajů státního rozpočtu na výzkum, vývoj a inovace na řešení části programového projektu č.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XXXX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„Rozhodnutí“)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[organizaci]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se sídlem XXXXXXXX</w:t>
      </w:r>
    </w:p>
    <w:p w:rsidR="00000000" w:rsidDel="00000000" w:rsidP="00000000" w:rsidRDefault="00000000" w:rsidRPr="00000000" w14:paraId="00000010">
      <w:pPr>
        <w:spacing w:before="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IČO: XXXXXXXX, DIČ: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zastoupená: XXXXXXXX </w:t>
      </w:r>
    </w:p>
    <w:p w:rsidR="00000000" w:rsidDel="00000000" w:rsidP="00000000" w:rsidRDefault="00000000" w:rsidRPr="00000000" w14:paraId="00000012">
      <w:pPr>
        <w:spacing w:before="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kontaktní osoba: XXXXXXXX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, řešitel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bankovní spojení: XXXXXXXX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XXXXXXXX</w:t>
      </w:r>
    </w:p>
    <w:p w:rsidR="00000000" w:rsidDel="00000000" w:rsidP="00000000" w:rsidRDefault="00000000" w:rsidRPr="00000000" w14:paraId="00000014">
      <w:pPr>
        <w:spacing w:before="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číslo účtu: XXXXXXXX</w:t>
      </w:r>
    </w:p>
    <w:p w:rsidR="00000000" w:rsidDel="00000000" w:rsidP="00000000" w:rsidRDefault="00000000" w:rsidRPr="00000000" w14:paraId="00000015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jako hlavnímu příjemci / dalšímu účastníku projektu (dále jen „Příjemce“)</w:t>
      </w:r>
    </w:p>
    <w:p w:rsidR="00000000" w:rsidDel="00000000" w:rsidP="00000000" w:rsidRDefault="00000000" w:rsidRPr="00000000" w14:paraId="00000016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Preambule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Poskytovatel přijal návrh projektu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názvem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mezinárodní výzvy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vyhlášené konsorciem poskytovatelů v ERA-NET Cofundu / Evropském partnerství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přičemž hlavní příjemce bude financován z následujícího programu: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Návrh projektu byl kvalitativně vyhodnocen na mezinárodní úrovni. Po kontrole způsobilosti na mezinárodní i národní úrovni prošel návrh projektu hodnocením mezinárodního hodnotícího orgánu, na základě kterého konsorcium poskytovatelů s ohledem na výši finanční alokace rozhodlo o finálním seznamu projektů vybraných k podpoře. Na základě tohoto finálního seznamu v souladu s § 7 odst. 4 ZPVV vydal poskytovatel rozhodnutí o poskytnutí podpory projektům vybraným na mezinárodní úrovni hlavnímu českému uchazeči v projektu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V souladu s § 9 ZPVV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proto Poskytovatel vydává toto Rozhodnutí. Veškeré pojmy použité v Rozhodnutí definujeme ve Všeobecných podmínkách.</w:t>
      </w:r>
    </w:p>
    <w:p w:rsidR="00000000" w:rsidDel="00000000" w:rsidP="00000000" w:rsidRDefault="00000000" w:rsidRPr="00000000" w14:paraId="00000018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Rozhodnutí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Předmětem Rozhodnutí je poskytnutí účelové podpory Příjemci za účelem jejího využití na dosažení deklarovaných výsledků a cílů projektu a současně povinnost Příjemce použít tuto podporu a řešit projekt v souladu s pravidly poskytnutí podpory a přílohou Závazné parametry řešení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Účelem podpory je dosažení stanovených cílů projektu, tj. cílů uvedených v příloze Závazné parametry řešení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Podporu poskytneme formou zvýšení výdajů organizační složky státu, která je Příjemcem, ve smyslu § 4 odst. 1 ZPVV.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Výše poskytnuté podpory a uznaných nákladů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výše podpory činí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Kč (slovy: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korun českých), což je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% z maximální výše uznaných nákladů.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výše uznaných nákladů projektu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činí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Kč (slovy: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korun českých).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možná intenzita podpory na celý projekt je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% uznaných nákladů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Související dokumenty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left" w:leader="none" w:pos="567"/>
          <w:tab w:val="left" w:leader="none" w:pos="709"/>
        </w:tabs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Nedílnou součástí Rozhodnutí je příloha Závazné parametry řešení projektu, která je Schváleným návrhem projektu ve smyslu § 9 odst. 2 ZPVV., Závazné parametry řešení projektu obsahují označení hlavního příjemce a dalších účastníků, jméno, příjmení a případné akademické tituly a vědecké hodnosti řešitele, časový plán řešení projektu včetně termínu zahájení a ukončení řešení projektu, cíle projektu, deklarované výsledky projektu, a jejíž součástí je tabulka uznaných nákladů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left" w:leader="none" w:pos="567"/>
          <w:tab w:val="left" w:leader="none" w:pos="709"/>
        </w:tabs>
        <w:ind w:left="357" w:hanging="357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 podmínky poskytnutí podpory a řešení projektu uvádíme ve Všeobecných podmínkách (verze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které jsou dostupné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 našich webových stránkách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tabs>
          <w:tab w:val="left" w:leader="none" w:pos="567"/>
          <w:tab w:val="left" w:leader="none" w:pos="709"/>
        </w:tabs>
        <w:ind w:left="357" w:hanging="357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Obsahuje-li Rozhodnutí úpravu odlišnou od Všeobecných podmínek či Závazných parametrů řešení projektu, použijeme přednostně ustanovení Rozhodnutí, dále ustanovení Všeobecných podmínek a dále Závazných parametrů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4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28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Specifické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240" w:lineRule="auto"/>
        <w:ind w:left="425" w:right="-182" w:hanging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Účelem tohoto článku je stanovit další podmínky, které jsou specifické pro výše uvedenou mezinárodní výzvu, a to nad rámec Všeobecných podmínek.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Uvádí-li Všeobecné podmínky či související dokumenty pojem “veřejná soutěž”, pro potřeby projektu financovaného prostřednictvím mezinárodních výzev se jedná o mezinárodní výzvu definovanou v čl. 4 odst. 4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má Hlavní příjemce povinnost dle zákona č. 563/1991 Sb., o účetnictví zveřejňovat účetní závěrku v příslušném rejstříku ve smyslu zákona č. 304/2013 Sb., o veřejných rejstřících právnických a fyzických osob, a to po celou dobu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20" w:lineRule="auto"/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2 Všeobecných podmínek „Vymezení pojmů” se doplňuje o tyto pojmy: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0" w:lineRule="auto"/>
        <w:ind w:left="8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„Zahraničním partnerem” se rozumí právnická osoba zabývající se výzkumem a vývojem, která se podílí na řešení projektu bez nároku na podporu z programu financování, jejíž účast na projektu je vymezena v návrhu projektu a s níž příjemce uzavřel příslušnou smlouvu (např. je rovněž jednou ze stran smlouvy o účasti na řešení projektu).</w:t>
      </w:r>
    </w:p>
    <w:p w:rsidR="00000000" w:rsidDel="00000000" w:rsidP="00000000" w:rsidRDefault="00000000" w:rsidRPr="00000000" w14:paraId="0000002E">
      <w:pPr>
        <w:ind w:left="8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„Mezinárodní výzvou” se rozumí výzva, kterou společně vyhlašuje konsorcium poskytovatelů daného ERA-NET Cofundu/Evropského partnerství. Do výzvy předkládají projekty konsorcia mezinárodních partnerů, přičemž každý poskytovatel financuje své národní úspěšné uchazeče ve výzvě.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má Hlavní příjemce povinnost mít uzavřenou příslušnou konsorciální smlouvu (Consortium Agreement) se zahraničním partnerem, přičemž je možné, aby zahraniční partner byl jednou ze smluvních stran Smlouvy o účasti na řešení projektu, aniž by byl v roli dalšího účastníka. Čl. 6 Všeobecných podmínek „Smlouva o účasti na řešení projektu” a související ustanovení se použijí i pro konsorciální smlouvu se zahraničním partnerem s výjimkou odst. 2 písm. c) a d). Konsorciální smlouva musí být v anglickém jazyce.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20" w:lineRule="auto"/>
        <w:ind w:left="425" w:right="-182" w:hanging="425"/>
        <w:rPr/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 Čl. 11 Všeobecných podmínek se doplňuje o nový odst. 5, který zní: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ind w:left="850" w:right="-18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Příjemce je povinen přispívat k průběžným mezinárodním zprávám o pokroku projektu a závěrečné zprávě podle požadavků koordinátora konsorcia projektu (dále jako „koordinátor”), přičemž koordinátorem může být i příjemce. Koordinátor je odpovědný za předkládání těchto zpráv sekretariátu výzvy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 četnosti stanovené v oficiálních dokumentech výzvy, přičemž koordinátor obdrží včas požadované šablony zpráv od sekretariátu výzvy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XXX XXX,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které poskytne příjemci k vyplnění.”</w:t>
      </w:r>
    </w:p>
    <w:p w:rsidR="00000000" w:rsidDel="00000000" w:rsidP="00000000" w:rsidRDefault="00000000" w:rsidRPr="00000000" w14:paraId="00000032">
      <w:pPr>
        <w:keepNext w:val="1"/>
        <w:keepLines w:val="1"/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Dle Všeobecných podmínek čl. 7 odst. 1 písm. d) lze smlouvu vypovědět, jestliže dojde ke krácení financí ze státního rozpočtu, regulaci čerpání st. rozpočtu aj. U mezinárodních výzev se čl. 7 odst. 1 písm. d) vztahuje také na případy, kdy prostředky, které pocházejí od zahraničních poskytovatelů, nebudou na řešení zahraničním partnerům poskytnuty vůbec nebo budou poskytnuty v nižším objemu, než bylo původně stanoveno.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Čl. 14 Všeobecných podmínek se doplňuje o nový odst. 5, který zní: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850.3937007874017" w:right="56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„Smlouva o využití výsledku musí být uzavřena v anglickém jazyce.“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Čl. 17 Všeobecných podmínek se doplňuje o nový odst. 11, který zní: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850.3937007874017" w:right="56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„Za uznaný náklad se nepovažuje plnění poskytnuté mezi hlavním příjemcem či dalšími účastníky a zahraničním partnerem projektu.“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Poskytovatel se zavazuje poskytnout podporu v každém roce řešení ve výši uvedené v Závazných  parametrech řešení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right="56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60 kalendářních dnů ode dne nabytí účinnosti Smlouvy a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right="56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víceletých projektů pro druhý a každý následující rok řešení do 60 kalendářních dnů od začátku příslušného kalendářního roku.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425" w:right="566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Příjemce povinen předložit Poskytovateli nejpozději společně s první průběžnou zprávou Plán správy dat, pravidelně ho aktualizovat a aktualizovanou verzi Plánu správy dat předkládat jako součást průběžné a závěrečné zprávy.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425" w:right="566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dále Příjemce povinen předávat Poskytovateli v průběhu realizace projektu informace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dostupnosti a způsobu šíření výsledků výzkumu a výzkumných dat, pokud byly vytvořeny za podpory z veřejných prostředků podle tohoto zákona, v souladu se zásadou, že výsledky výzkumu a výzkumná data nejsou zveřejňovány pouze v odůvodněných případech.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left" w:leader="none" w:pos="567"/>
          <w:tab w:val="left" w:leader="none" w:pos="709"/>
        </w:tabs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Rozhodnutí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nabývá právní moci a vykonatelnosti dnem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jeho doručení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Příjemci.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left" w:leader="none" w:pos="567"/>
          <w:tab w:val="left" w:leader="none" w:pos="709"/>
        </w:tabs>
        <w:ind w:left="36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Rozhodnutí vydáváme na dobu určitou, a to do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6"/>
          <w:numId w:val="6"/>
        </w:numPr>
        <w:spacing w:before="0" w:line="240" w:lineRule="auto"/>
        <w:ind w:left="5040" w:firstLine="147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9"/>
        <w:gridCol w:w="4820"/>
        <w:tblGridChange w:id="0">
          <w:tblGrid>
            <w:gridCol w:w="4819"/>
            <w:gridCol w:w="4820"/>
          </w:tblGrid>
        </w:tblGridChange>
      </w:tblGrid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40" w:before="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 Praze dne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DD. MM. RRRR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předseda/předsedkyně TA ČR</w:t>
            </w:r>
          </w:p>
        </w:tc>
      </w:tr>
    </w:tbl>
    <w:bookmarkStart w:colFirst="0" w:colLast="0" w:name="1fob9te" w:id="2"/>
    <w:bookmarkEnd w:id="2"/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before="0" w:line="240" w:lineRule="auto"/>
      <w:rPr>
        <w:rFonts w:ascii="Calibri" w:cs="Calibri" w:eastAsia="Calibri" w:hAnsi="Calibri"/>
        <w:sz w:val="16"/>
        <w:szCs w:val="16"/>
      </w:rPr>
    </w:pPr>
    <w:bookmarkStart w:colFirst="0" w:colLast="0" w:name="_3znysh7" w:id="3"/>
    <w:bookmarkEnd w:id="3"/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F-353, verze 4</w:t>
      <w:tab/>
      <w:t xml:space="preserve">Strana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ab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Veřejný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before="0" w:line="240" w:lineRule="auto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before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tabs>
        <w:tab w:val="center" w:leader="none" w:pos="4536"/>
        <w:tab w:val="right" w:leader="none" w:pos="9072"/>
      </w:tabs>
      <w:spacing w:before="1134" w:line="240" w:lineRule="auto"/>
      <w:jc w:val="right"/>
      <w:rPr/>
    </w:pPr>
    <w:r w:rsidDel="00000000" w:rsidR="00000000" w:rsidRPr="00000000">
      <w:rPr>
        <w:b w:val="1"/>
        <w:sz w:val="16"/>
        <w:szCs w:val="16"/>
        <w:rtl w:val="0"/>
      </w:rPr>
      <w:t xml:space="preserve">Rozhodnutí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-892167</wp:posOffset>
          </wp:positionH>
          <wp:positionV relativeFrom="paragraph">
            <wp:posOffset>-441954</wp:posOffset>
          </wp:positionV>
          <wp:extent cx="1439545" cy="143954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tabs>
        <w:tab w:val="center" w:leader="none" w:pos="4536"/>
        <w:tab w:val="right" w:leader="none" w:pos="9072"/>
      </w:tabs>
      <w:spacing w:before="0" w:line="240" w:lineRule="auto"/>
      <w:jc w:val="right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Číslo rozhodnutí: 20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highlight w:val="yellow"/>
        <w:rtl w:val="0"/>
      </w:rPr>
      <w:t xml:space="preserve">XXxxxx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536"/>
        <w:tab w:val="right" w:leader="none" w:pos="9072"/>
      </w:tabs>
      <w:spacing w:before="0" w:line="240" w:lineRule="auto"/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1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/>
    </w:lvl>
    <w:lvl w:ilvl="2">
      <w:start w:val="1"/>
      <w:numFmt w:val="lowerRoman"/>
      <w:lvlText w:val="%3."/>
      <w:lvlJc w:val="right"/>
      <w:pPr>
        <w:ind w:left="1620" w:hanging="180"/>
      </w:pPr>
      <w:rPr/>
    </w:lvl>
    <w:lvl w:ilvl="3">
      <w:start w:val="1"/>
      <w:numFmt w:val="decimal"/>
      <w:lvlText w:val="%4."/>
      <w:lvlJc w:val="left"/>
      <w:pPr>
        <w:ind w:left="2340" w:hanging="360"/>
      </w:pPr>
      <w:rPr/>
    </w:lvl>
    <w:lvl w:ilvl="4">
      <w:start w:val="1"/>
      <w:numFmt w:val="lowerLetter"/>
      <w:lvlText w:val="%5."/>
      <w:lvlJc w:val="left"/>
      <w:pPr>
        <w:ind w:left="3060" w:hanging="360"/>
      </w:pPr>
      <w:rPr/>
    </w:lvl>
    <w:lvl w:ilvl="5">
      <w:start w:val="1"/>
      <w:numFmt w:val="lowerRoman"/>
      <w:lvlText w:val="%6."/>
      <w:lvlJc w:val="right"/>
      <w:pPr>
        <w:ind w:left="3780" w:hanging="180"/>
      </w:pPr>
      <w:rPr/>
    </w:lvl>
    <w:lvl w:ilvl="6">
      <w:start w:val="1"/>
      <w:numFmt w:val="decimal"/>
      <w:lvlText w:val="%7."/>
      <w:lvlJc w:val="left"/>
      <w:pPr>
        <w:ind w:left="4500" w:hanging="360"/>
      </w:pPr>
      <w:rPr/>
    </w:lvl>
    <w:lvl w:ilvl="7">
      <w:start w:val="1"/>
      <w:numFmt w:val="lowerLetter"/>
      <w:lvlText w:val="%8."/>
      <w:lvlJc w:val="left"/>
      <w:pPr>
        <w:ind w:left="5220" w:hanging="360"/>
      </w:pPr>
      <w:rPr/>
    </w:lvl>
    <w:lvl w:ilvl="8">
      <w:start w:val="1"/>
      <w:numFmt w:val="lowerRoman"/>
      <w:lvlText w:val="%9."/>
      <w:lvlJc w:val="right"/>
      <w:pPr>
        <w:ind w:left="59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1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/>
    </w:lvl>
    <w:lvl w:ilvl="2">
      <w:start w:val="1"/>
      <w:numFmt w:val="lowerRoman"/>
      <w:lvlText w:val="%3."/>
      <w:lvlJc w:val="right"/>
      <w:pPr>
        <w:ind w:left="1620" w:hanging="180"/>
      </w:pPr>
      <w:rPr/>
    </w:lvl>
    <w:lvl w:ilvl="3">
      <w:start w:val="1"/>
      <w:numFmt w:val="decimal"/>
      <w:lvlText w:val="%4."/>
      <w:lvlJc w:val="left"/>
      <w:pPr>
        <w:ind w:left="2340" w:hanging="360"/>
      </w:pPr>
      <w:rPr/>
    </w:lvl>
    <w:lvl w:ilvl="4">
      <w:start w:val="1"/>
      <w:numFmt w:val="lowerLetter"/>
      <w:lvlText w:val="%5."/>
      <w:lvlJc w:val="left"/>
      <w:pPr>
        <w:ind w:left="3060" w:hanging="360"/>
      </w:pPr>
      <w:rPr/>
    </w:lvl>
    <w:lvl w:ilvl="5">
      <w:start w:val="1"/>
      <w:numFmt w:val="lowerRoman"/>
      <w:lvlText w:val="%6."/>
      <w:lvlJc w:val="right"/>
      <w:pPr>
        <w:ind w:left="3780" w:hanging="180"/>
      </w:pPr>
      <w:rPr/>
    </w:lvl>
    <w:lvl w:ilvl="6">
      <w:start w:val="1"/>
      <w:numFmt w:val="decimal"/>
      <w:lvlText w:val="%7."/>
      <w:lvlJc w:val="left"/>
      <w:pPr>
        <w:ind w:left="4500" w:hanging="360"/>
      </w:pPr>
      <w:rPr/>
    </w:lvl>
    <w:lvl w:ilvl="7">
      <w:start w:val="1"/>
      <w:numFmt w:val="lowerLetter"/>
      <w:lvlText w:val="%8."/>
      <w:lvlJc w:val="left"/>
      <w:pPr>
        <w:ind w:left="5220" w:hanging="360"/>
      </w:pPr>
      <w:rPr/>
    </w:lvl>
    <w:lvl w:ilvl="8">
      <w:start w:val="1"/>
      <w:numFmt w:val="lowerRoman"/>
      <w:lvlText w:val="%9."/>
      <w:lvlJc w:val="right"/>
      <w:pPr>
        <w:ind w:left="59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firstLine="0"/>
      </w:pPr>
      <w:rPr>
        <w:rFonts w:ascii="Calibri" w:cs="Calibri" w:eastAsia="Calibri" w:hAnsi="Calibri"/>
        <w:b w:val="1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firstLine="0"/>
      </w:pPr>
      <w:rPr>
        <w:rFonts w:ascii="Calibri" w:cs="Calibri" w:eastAsia="Calibri" w:hAnsi="Calibri"/>
        <w:b w:val="1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360" w:firstLine="1080"/>
      </w:pPr>
      <w:rPr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92" w:firstLine="9072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cs-CZ"/>
      </w:rPr>
    </w:rPrDefault>
    <w:pPrDefault>
      <w:pPr>
        <w:spacing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